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4A" w:rsidRDefault="00A65676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ОЦЕНКА</w:t>
      </w:r>
    </w:p>
    <w:p w:rsidR="00A9624A" w:rsidRDefault="00A656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эффективности налоговых расходов Тульской области </w:t>
      </w:r>
    </w:p>
    <w:p w:rsidR="00A9624A" w:rsidRDefault="00A656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2019 год</w:t>
      </w:r>
    </w:p>
    <w:p w:rsidR="00A9624A" w:rsidRDefault="00A9624A">
      <w:pPr>
        <w:jc w:val="center"/>
        <w:rPr>
          <w:b/>
          <w:bCs/>
          <w:sz w:val="28"/>
          <w:szCs w:val="28"/>
        </w:rPr>
      </w:pP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Оценка эффективности налоговых расходов Тульской области за 2019 год проведена кураторами налоговых расходов в соответствии с положениями  постановления правительства Тульской области </w:t>
      </w:r>
      <w:r>
        <w:rPr>
          <w:sz w:val="28"/>
          <w:szCs w:val="28"/>
        </w:rPr>
        <w:t>от 21.10.2019 № 496 «Об утверждении порядка формирования перечня и оценки налоговых расходов Тульской области» и с учетом общих требований, установленных постановлением Правительства Российской Федерации от 22.06.2019 № 796 «Об общих требованиях к оценке н</w:t>
      </w:r>
      <w:r>
        <w:rPr>
          <w:sz w:val="28"/>
          <w:szCs w:val="28"/>
        </w:rPr>
        <w:t>алоговых расходов субъектов Российской Федерации и муниципальных образований».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Оценка эффективности налоговых расходов проведена в отношении следующих видов налогов: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налог на прибыль организаций;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налог на имущество организаций;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транспортный налог;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упрощенная система налогообложения;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патентная система налогообложения.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Кураторами налоговых расходов в 2019 году определены следующие органы исполнительной власти Тульской области: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труда и социальной защиты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</w:t>
      </w:r>
      <w:r>
        <w:rPr>
          <w:sz w:val="28"/>
          <w:szCs w:val="28"/>
        </w:rPr>
        <w:t xml:space="preserve"> по информатизации, связи и вопросам открытого управления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промышленности и науки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транспорта и дорожного хозяйства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внутренней политики и развития местного сам</w:t>
      </w:r>
      <w:r>
        <w:rPr>
          <w:sz w:val="28"/>
          <w:szCs w:val="28"/>
        </w:rPr>
        <w:t>оуправления в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экономического развития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министерство сельского хозяйства Тульской области;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комитет Тульской области по предпринимательству и потребительскому рынку;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комитет Тульской области по спорту;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- комитет Тульской области по региональной безопасности.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налоговых расходов осуществлялась по </w:t>
      </w:r>
      <w:bookmarkStart w:id="1" w:name="__DdeLink__2459_3314054378"/>
      <w:r>
        <w:rPr>
          <w:sz w:val="28"/>
          <w:szCs w:val="28"/>
        </w:rPr>
        <w:t>критериям целесообразности и результативности.</w:t>
      </w:r>
      <w:bookmarkEnd w:id="1"/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Критериями целесообразности налоговых расходов являются: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налоговых расходов Тул</w:t>
      </w:r>
      <w:r>
        <w:rPr>
          <w:sz w:val="28"/>
          <w:szCs w:val="28"/>
        </w:rPr>
        <w:t>ьской области целям государственных программ (подпрограмм государственных программ) Тульской области и (или) целям социально-экономической политики Тульской области, не относящимся к государственным программам;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востребованность налогоплательщиками предос</w:t>
      </w:r>
      <w:r>
        <w:rPr>
          <w:sz w:val="28"/>
          <w:szCs w:val="28"/>
        </w:rPr>
        <w:t>тавленных льгот.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результативности налогового расхода включает оценку вклада льготы в изменение значения показателя (индикатора) достижения цели государственной программы (подпрограммы государственной программы) Тульской области и (или) цели социальн</w:t>
      </w:r>
      <w:r>
        <w:rPr>
          <w:sz w:val="28"/>
          <w:szCs w:val="28"/>
        </w:rPr>
        <w:t>о-экономической политики Тульской области, не относящейся к государственным программам, а также оценку бюджетной эффективности.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Общее количество налоговых расходов, действовавших в 2019 году, составило 57. </w:t>
      </w:r>
    </w:p>
    <w:p w:rsidR="00A9624A" w:rsidRDefault="00A65676">
      <w:pPr>
        <w:ind w:firstLine="709"/>
        <w:jc w:val="both"/>
        <w:rPr>
          <w:highlight w:val="yellow"/>
        </w:rPr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Все оцененные льготы признаны эффективными. По </w:t>
      </w:r>
      <w:r>
        <w:rPr>
          <w:rFonts w:eastAsia="Calibri" w:cs="Times New Roman"/>
          <w:kern w:val="0"/>
          <w:sz w:val="28"/>
          <w:szCs w:val="28"/>
          <w:lang w:eastAsia="en-US" w:bidi="ar-SA"/>
        </w:rPr>
        <w:t>результатам оценки кураторами сделаны выводы о необходимости сохранения действующих налоговых льгот.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Налоговые расходы Тульской области относятся к следующим целевым категориям: социальные, стимулирующие и технические. 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iCs/>
          <w:sz w:val="28"/>
          <w:szCs w:val="28"/>
        </w:rPr>
        <w:t>Социальные налоговые расходы</w:t>
      </w:r>
      <w:r>
        <w:rPr>
          <w:sz w:val="28"/>
          <w:szCs w:val="28"/>
        </w:rPr>
        <w:t xml:space="preserve"> обус</w:t>
      </w:r>
      <w:r>
        <w:rPr>
          <w:sz w:val="28"/>
          <w:szCs w:val="28"/>
        </w:rPr>
        <w:t>ловлены необходимостью обеспечения социальной защиты (поддержки) населения. Количество социальных льгот — 25, что составляет 44% от общего количества налоговых льгот, действовавших в 2019 году; установлены по двум видам налогов — транспортный налог и налог</w:t>
      </w:r>
      <w:r>
        <w:rPr>
          <w:sz w:val="28"/>
          <w:szCs w:val="28"/>
        </w:rPr>
        <w:t xml:space="preserve"> на имущество организаций — следующими Законами: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Законом Тульской области № 343-ЗТО «О транспортном налоге»;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Законом Тульской области № 414-ЗТО «О налоге на имущество организаций»;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Законом Тульской области № 73-ЗТО «О льготном налогообложении в 2019 </w:t>
      </w:r>
      <w:r>
        <w:rPr>
          <w:sz w:val="28"/>
          <w:szCs w:val="28"/>
        </w:rPr>
        <w:t>году».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Кураторами социальных налоговых расходов являются: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труда и социальной защиты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промышленности и науки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министерство по информатизации, связи и вопросам открытого управления Тульской </w:t>
      </w:r>
      <w:r>
        <w:rPr>
          <w:sz w:val="28"/>
          <w:szCs w:val="28"/>
        </w:rPr>
        <w:t>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транспорта и дорожного хозяйства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внутренней политики и развития местного самоуправления в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комитет Тульской области по спорту.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Проведенная оценка </w:t>
      </w:r>
      <w:r>
        <w:rPr>
          <w:sz w:val="28"/>
          <w:szCs w:val="28"/>
        </w:rPr>
        <w:t>целесообразности</w:t>
      </w:r>
      <w:r>
        <w:rPr>
          <w:sz w:val="28"/>
          <w:szCs w:val="28"/>
        </w:rPr>
        <w:t xml:space="preserve"> социальных налого</w:t>
      </w:r>
      <w:r>
        <w:rPr>
          <w:sz w:val="28"/>
          <w:szCs w:val="28"/>
        </w:rPr>
        <w:t>вых льгот показала, что социальные льготы соответствуют целям государственных программ (подпрограмм государственных программ) Тульской области: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«Социальная поддержка и социальное обслуживание населения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«Улучшение демографической ситу</w:t>
      </w:r>
      <w:r>
        <w:rPr>
          <w:sz w:val="28"/>
          <w:szCs w:val="28"/>
        </w:rPr>
        <w:t>ации и поддержка семей, воспитывающих детей, в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 «Развитие промышленного комплекса Тульской области» и «Развитие научной и инновационной деятельности» программы «Развитие промышленности в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«Информационное о</w:t>
      </w:r>
      <w:r>
        <w:rPr>
          <w:sz w:val="28"/>
          <w:szCs w:val="28"/>
        </w:rPr>
        <w:t>бщество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подпрограммы «Развитие пригородного и городского пассажирского транспорта Тульской области» программы «Развитие транспортной системы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подпрограммы «Укрепление единства российской нации и этнокультурное разви</w:t>
      </w:r>
      <w:r>
        <w:rPr>
          <w:sz w:val="28"/>
          <w:szCs w:val="28"/>
        </w:rPr>
        <w:t>тие народов России в Тульской области» программы «Реализация государственной национальной политики и развитие местного самоуправления в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«Развитие физической культуры и спорта в Тульской области».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Востребованность</w:t>
      </w:r>
      <w:r>
        <w:rPr>
          <w:sz w:val="28"/>
          <w:szCs w:val="28"/>
        </w:rPr>
        <w:t xml:space="preserve"> социальных налоговых р</w:t>
      </w:r>
      <w:r>
        <w:rPr>
          <w:sz w:val="28"/>
          <w:szCs w:val="28"/>
        </w:rPr>
        <w:t xml:space="preserve">асходов оценивалась по фактическому предоставлению. 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Льготы по транспортному налогу.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Освобождение от уплаты транспортного налога таких категорий, как Герои Советского Союза, Герои Российской Федерации, ветераны Великой Отечественной войны, считается востре</w:t>
      </w:r>
      <w:r>
        <w:rPr>
          <w:sz w:val="28"/>
          <w:szCs w:val="28"/>
        </w:rPr>
        <w:t>бованным в случае, если хотя бы один налогоплательщик воспользовался льготой.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аналогичному принципу в силу высокой социальной значимости оценена востребованность льготы по освобождению от уплаты транспортного налога категории общественных объединений (о</w:t>
      </w:r>
      <w:r>
        <w:rPr>
          <w:sz w:val="28"/>
          <w:szCs w:val="28"/>
        </w:rPr>
        <w:t>рганизаций) инвалидов и категории учебно-производственных и социально-реабилитационных организаций Всероссийского общества глухих и Всероссийского общества слепых.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других категорий (например, ветераны боевых действий, инвалиды, члены многодетных семей,</w:t>
      </w:r>
      <w:r>
        <w:rPr>
          <w:sz w:val="28"/>
          <w:szCs w:val="28"/>
        </w:rPr>
        <w:t xml:space="preserve"> «чернобыльцы») востребованность плательщиками предоставленных льгот характеризуется соотношением численности плательщиков, воспользовавшихся правом на льготу, и общей численности плательщиков.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В 2019 году указанной льготой воспользовались 6,5 тыс. человек</w:t>
      </w:r>
      <w:r>
        <w:rPr>
          <w:sz w:val="28"/>
          <w:szCs w:val="28"/>
        </w:rPr>
        <w:t xml:space="preserve"> или 47,1% ветеранов боевых действий, 18,5 тыс. человек или 13,8% инвалидов, 128,5 тыс. человек или 38,6% «чернобыльцев», 3,4 тыс. человек или 23,7% родителей из многодетных семей. Сумма льгот по транспортному налогу составила 398,4 млн рублей.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Льготы по н</w:t>
      </w:r>
      <w:r>
        <w:rPr>
          <w:sz w:val="28"/>
          <w:szCs w:val="28"/>
        </w:rPr>
        <w:t>алогу на имущество организаций.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Льготой в виде освобождения от уплаты налога на имущество организаций в 2019 году воспользовались 74 религиозные организации, а также по одной организации, относящейся к категории: организаций, производящих музыкальные </w:t>
      </w:r>
      <w:r>
        <w:rPr>
          <w:sz w:val="28"/>
          <w:szCs w:val="28"/>
        </w:rPr>
        <w:t xml:space="preserve">инструменты; организаций федеральной почтовой связи; организаций железнодорожного транспорта в отношении имущества, используемого для организации работы детских железных дорог и проведения профессионально-ориентационной работы среди молодежи; организаций, </w:t>
      </w:r>
      <w:r>
        <w:rPr>
          <w:sz w:val="28"/>
          <w:szCs w:val="28"/>
        </w:rPr>
        <w:t xml:space="preserve">проводящих спортивные мероприятия в закрытых помещениях на искусственном льду, при условии предоставления спортивных сооружений на безвозмездной основе для занятий спортсменов-инвалидов — членов </w:t>
      </w:r>
      <w:r>
        <w:rPr>
          <w:sz w:val="28"/>
          <w:szCs w:val="28"/>
        </w:rPr>
        <w:lastRenderedPageBreak/>
        <w:t>спортивных сборных команд Тульской области; образовательных о</w:t>
      </w:r>
      <w:r>
        <w:rPr>
          <w:sz w:val="28"/>
          <w:szCs w:val="28"/>
        </w:rPr>
        <w:t>рганизаций высшего образования, осуществляющих подготовку кадров со средним профессиональным и высшим образованием для организаций оборонно-промышленного комплекса Тульской области. Сумма льгот по налогу на имущество организаций составила 36,9 млн рублей.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Общая сумма социальных налоговых льгот в 2019 году составила 435,3 млн рублей.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По итогам оценки социальных налоговых расходов, проведенной кураторами налоговых расходов Тульской области, все льготы соответствуют целям государственных программ (подпрограмм </w:t>
      </w:r>
      <w:r>
        <w:rPr>
          <w:sz w:val="28"/>
          <w:szCs w:val="28"/>
        </w:rPr>
        <w:t>государственных программ) Тульской области и являются востребованными; применение альтернативных механизмов достижения целей государственных программ (в т.ч. субсидий, государственных гарантий, совершенствование нормативного регулирования) не представляетс</w:t>
      </w:r>
      <w:r>
        <w:rPr>
          <w:sz w:val="28"/>
          <w:szCs w:val="28"/>
        </w:rPr>
        <w:t>я возможным.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 xml:space="preserve">2. </w:t>
      </w:r>
      <w:r>
        <w:rPr>
          <w:i/>
          <w:iCs/>
          <w:sz w:val="28"/>
          <w:szCs w:val="28"/>
        </w:rPr>
        <w:t>Стимулирующие налоговые расходы</w:t>
      </w:r>
      <w:r>
        <w:rPr>
          <w:sz w:val="28"/>
          <w:szCs w:val="28"/>
        </w:rPr>
        <w:t xml:space="preserve"> нацелены на стимулирование экономической активности субъектов предпринимательской деятельности, привлечения инвестиций в экономику региона и последующее увеличение доходов бюджета Тульской области. Кроме того</w:t>
      </w:r>
      <w:r>
        <w:rPr>
          <w:sz w:val="28"/>
          <w:szCs w:val="28"/>
        </w:rPr>
        <w:t>, стимулирующие налоговые льготы являются одним из элементов эффективного действия институтов развития территорий — ОЭЗ, ТОСЭР, СПИК, индустриальные парки.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Количество стимулирующих налоговых расходов — 29, или 51% от общего числа льгот, действовавших в 201</w:t>
      </w:r>
      <w:r>
        <w:rPr>
          <w:sz w:val="28"/>
          <w:szCs w:val="28"/>
        </w:rPr>
        <w:t>9 году; установлены по налогу на прибыль организаций, налогу на имущество организаций, транспортному налогу, упрощенной системе налогообложения и патентной системе налогообложения.</w:t>
      </w:r>
    </w:p>
    <w:p w:rsidR="00A9624A" w:rsidRDefault="00A65676">
      <w:pPr>
        <w:ind w:firstLine="709"/>
        <w:jc w:val="both"/>
      </w:pPr>
      <w:r>
        <w:rPr>
          <w:sz w:val="28"/>
          <w:szCs w:val="28"/>
        </w:rPr>
        <w:t>Кураторами стимулирующих налоговых расходов являются: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эконом</w:t>
      </w:r>
      <w:r>
        <w:rPr>
          <w:sz w:val="28"/>
          <w:szCs w:val="28"/>
        </w:rPr>
        <w:t>ического развития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промышленности и науки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министерство сельского хозяйства Тульской области;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комитет Тульской области по предпринимательству и потребительскому рынку.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Стимулирующие налоговые льготы оказ</w:t>
      </w:r>
      <w:r>
        <w:rPr>
          <w:sz w:val="28"/>
          <w:szCs w:val="28"/>
        </w:rPr>
        <w:t>ывают влияние на достижение целей следующих государственных программ (подпрограмм государственных программ) Тульской области: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«Улучшение инвестиционного климата в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подпрограммы «Развитие промышленного комплекса Тульской области» прогр</w:t>
      </w:r>
      <w:r>
        <w:rPr>
          <w:sz w:val="28"/>
          <w:szCs w:val="28"/>
        </w:rPr>
        <w:t>аммы «Развитие промышленности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«Развитие малого и среднего предпринимательства в Тульской области»;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подпрограммы «Развитие отраслей агропромышленного комплекса» программы «Развитие сельского хозяйства Тульской области».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Востребованнос</w:t>
      </w:r>
      <w:r>
        <w:rPr>
          <w:sz w:val="28"/>
          <w:szCs w:val="28"/>
        </w:rPr>
        <w:t xml:space="preserve">ть льгот оценивалась по фактическому предоставлению. 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>
        <w:rPr>
          <w:i/>
          <w:iCs/>
          <w:sz w:val="28"/>
          <w:szCs w:val="28"/>
        </w:rPr>
        <w:t>Налоговые расходы, направленные на стимулирование инвестиционной активности.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развития инвестиционной деятельности на территории Тульской области, а также для поддержки резидентов индустриальных</w:t>
      </w:r>
      <w:r>
        <w:rPr>
          <w:sz w:val="28"/>
          <w:szCs w:val="28"/>
        </w:rPr>
        <w:t xml:space="preserve"> парков, применяются льготы по налогу на имущество организаций и налогу на прибыль организаций в соответствии с Законом Т</w:t>
      </w:r>
      <w:r>
        <w:rPr>
          <w:sz w:val="28"/>
          <w:szCs w:val="28"/>
        </w:rPr>
        <w:t>ульской области № 1390-ЗТО «О льготном налогообложении при осуществлении инвестиционной деятельности в форме капитальных вложений на те</w:t>
      </w:r>
      <w:r>
        <w:rPr>
          <w:sz w:val="28"/>
          <w:szCs w:val="28"/>
        </w:rPr>
        <w:t>рритории Тульской области»</w:t>
      </w:r>
      <w:r>
        <w:rPr>
          <w:sz w:val="28"/>
          <w:szCs w:val="28"/>
        </w:rPr>
        <w:t>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В 2019 году указанными налоговыми льготами региональные организации воспользовались на общую сумму 605,0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При этом сумма налогов, поступивших в консолидированный бюджет Тульской области от налогоплательщиков, заявивши</w:t>
      </w:r>
      <w:r>
        <w:rPr>
          <w:rFonts w:eastAsia="PT Astra Serif" w:cs="PT Astra Serif"/>
          <w:color w:val="000000"/>
          <w:sz w:val="28"/>
          <w:szCs w:val="28"/>
        </w:rPr>
        <w:t>х льготу по налогу на имущество организаций и налогу на прибыль организаций при осуществлении инвестиционной деятельности, составила 5 790,3 млн рублей.</w:t>
      </w:r>
    </w:p>
    <w:p w:rsidR="00A9624A" w:rsidRDefault="00A65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резидентов особой экономической зоны (ОЭЗ)  осуществляется посредством предоставления льгот п</w:t>
      </w:r>
      <w:r>
        <w:rPr>
          <w:sz w:val="28"/>
          <w:szCs w:val="28"/>
        </w:rPr>
        <w:t xml:space="preserve">о налогу на прибыль организаций и транспортному налогу в соответствии с </w:t>
      </w:r>
      <w:r>
        <w:rPr>
          <w:sz w:val="28"/>
          <w:szCs w:val="28"/>
        </w:rPr>
        <w:t>Законом Тульской области № 56-ЗТО «Об установлении пониженной ставки налога на прибыль организаций для организаций — резидентов особой экономической зоны на территории Тульской области</w:t>
      </w:r>
      <w:r>
        <w:rPr>
          <w:sz w:val="28"/>
          <w:szCs w:val="28"/>
        </w:rPr>
        <w:t xml:space="preserve"> и о внесении изменения в статью 8 Закона Тульской области «О транспортном налоге» и Законом Тульской области № 343-ЗТО «О транспортном налоге».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В 2019 году налоговыми льготами по налогу на прибыль организаций и транспортному налогу воспользовались 14 рези</w:t>
      </w:r>
      <w:r>
        <w:rPr>
          <w:rFonts w:eastAsia="PT Astra Serif" w:cs="PT Astra Serif"/>
          <w:color w:val="000000"/>
          <w:sz w:val="28"/>
          <w:szCs w:val="28"/>
        </w:rPr>
        <w:t xml:space="preserve">дентов ОЭЗ «Узловая». 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Сумма налоговых льгот, предоставленных налогоплательщикам — резидентам ОЭЗ, составила 4,2 млн рублей.</w:t>
      </w:r>
    </w:p>
    <w:p w:rsidR="00A9624A" w:rsidRDefault="00A6567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При этом сумма налогов, поступивших в консолидированный бюджет Тульской области от налогоплательщиков, заявивших льготу, составила </w:t>
      </w:r>
      <w:r>
        <w:rPr>
          <w:rFonts w:eastAsia="PT Astra Serif" w:cs="PT Astra Serif"/>
          <w:color w:val="000000"/>
          <w:sz w:val="28"/>
          <w:szCs w:val="28"/>
        </w:rPr>
        <w:t>46,6 млн рублей.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В качестве мер налоговой поддержки налогоплательщиков — резидентов территорий опережающего социально-экономического развития (ТОСЭР) определены льготы по налогу на прибыль организаций и налогу на имущество организаций в соответствии с </w:t>
      </w:r>
      <w:r>
        <w:rPr>
          <w:rFonts w:eastAsia="PT Astra Serif" w:cs="PT Astra Serif"/>
          <w:color w:val="000000"/>
          <w:sz w:val="28"/>
          <w:szCs w:val="28"/>
        </w:rPr>
        <w:t>Законом Тульской области № 103-ЗТО «О льготном налогообложении налогоплательщиков — резидентов территорий опережающего социально-экономического развития, созданных на территории Тульской области».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По итогам 2019 года льготами воспользовались 8 резидентов Т</w:t>
      </w:r>
      <w:r>
        <w:rPr>
          <w:rFonts w:eastAsia="PT Astra Serif" w:cs="PT Astra Serif"/>
          <w:color w:val="000000"/>
          <w:sz w:val="28"/>
          <w:szCs w:val="28"/>
        </w:rPr>
        <w:t>ОСЭР, сумма льготы по налогу на имущество организаций составила 1,2 млн рублей. Льгота по налогу на прибыль организаций в отчетном периоде не предоставлялась.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Поддержка инвесторов — участников специальных инвестиционных контрактов (СПИК) осуществляется в с</w:t>
      </w:r>
      <w:r>
        <w:rPr>
          <w:rFonts w:eastAsia="PT Astra Serif" w:cs="PT Astra Serif"/>
          <w:color w:val="000000"/>
          <w:sz w:val="28"/>
          <w:szCs w:val="28"/>
        </w:rPr>
        <w:t>оответствии с Законом Тульской области № 33-ЗТО «О льготном налогообложении налогоплательщиков — участников специальных инвестиционных контрактов». Льготы предусмотрены по налогу на прибыль организации и налогу на имущество организации.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lastRenderedPageBreak/>
        <w:t>В 2019 году действо</w:t>
      </w:r>
      <w:r>
        <w:rPr>
          <w:rFonts w:eastAsia="PT Astra Serif" w:cs="PT Astra Serif"/>
          <w:color w:val="000000"/>
          <w:sz w:val="28"/>
          <w:szCs w:val="28"/>
        </w:rPr>
        <w:t>вали 3 СПИКа, 2 из которых регионального уровня и 1 федерального уровня.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Объем инвестиций по этим СПИКам составляет 17 720,0 млн рублей, планируется создание новых рабочих мест — 1 919 единиц.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В 2019 году сумма налоговых льгот для участников СПИК составила</w:t>
      </w:r>
      <w:r>
        <w:rPr>
          <w:rFonts w:eastAsia="PT Astra Serif" w:cs="PT Astra Serif"/>
          <w:color w:val="000000"/>
          <w:sz w:val="28"/>
          <w:szCs w:val="28"/>
        </w:rPr>
        <w:t xml:space="preserve"> 485,6 млн рублей. Сумма налогов, поступивших в консолидированный бюджет Тульской области от налогоплательщиков — участников СПИК, составила 225,4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Общая сумма стимулирующих налоговых льгот, направленных на поддержку инвестиционной деятельности,</w:t>
      </w:r>
      <w:r>
        <w:rPr>
          <w:rFonts w:eastAsia="PT Astra Serif" w:cs="PT Astra Serif"/>
          <w:color w:val="000000"/>
          <w:sz w:val="28"/>
          <w:szCs w:val="28"/>
        </w:rPr>
        <w:t xml:space="preserve"> в 2019 году составила 1 096,0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 xml:space="preserve">По итогам оценки, проведенной кураторами, налоговые расходы соответствуют целям государственных программ (подпрограмм государственных программ) Тульской области и являются востребованными. 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Налоговые расходы, напр</w:t>
      </w:r>
      <w:r>
        <w:rPr>
          <w:rFonts w:eastAsia="PT Astra Serif" w:cs="PT Astra Serif"/>
          <w:color w:val="000000"/>
          <w:sz w:val="28"/>
          <w:szCs w:val="28"/>
        </w:rPr>
        <w:t>авленные на стимулирование инвестиционной деятельности в Тульской области, оказывают значительное влияние на достижение показателей «объем инвестиций в основной капитал за счет всех источников финансирования» и «общий объем инвестиций в рамках реализации и</w:t>
      </w:r>
      <w:r>
        <w:rPr>
          <w:rFonts w:eastAsia="PT Astra Serif" w:cs="PT Astra Serif"/>
          <w:color w:val="000000"/>
          <w:sz w:val="28"/>
          <w:szCs w:val="28"/>
        </w:rPr>
        <w:t xml:space="preserve">нвестиционных проектов». 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Перераспределение высвободившихся в результате предоставления налоговых льгот денежных средств позволяет организациям направлять эти средства на реализацию новых инвестиционных проектов, создание новых рабочих мест, расширение и м</w:t>
      </w:r>
      <w:r>
        <w:rPr>
          <w:rFonts w:eastAsia="PT Astra Serif" w:cs="PT Astra Serif"/>
          <w:color w:val="000000"/>
          <w:sz w:val="28"/>
          <w:szCs w:val="28"/>
        </w:rPr>
        <w:t>одернизацию производства и увеличение объемов выпуска продукции.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2.2. </w:t>
      </w:r>
      <w:r>
        <w:rPr>
          <w:rFonts w:eastAsia="PT Astra Serif" w:cs="PT Astra Serif"/>
          <w:i/>
          <w:iCs/>
          <w:color w:val="000000"/>
          <w:sz w:val="28"/>
          <w:szCs w:val="28"/>
        </w:rPr>
        <w:t>Налоговые расходы, направленные на поддержку и развитие субъектов малого и среднего предпринимательства.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В качестве мер стимулирования субъектов малого и среднего предпринимательства при</w:t>
      </w:r>
      <w:r>
        <w:rPr>
          <w:rFonts w:eastAsia="PT Astra Serif" w:cs="PT Astra Serif"/>
          <w:color w:val="000000"/>
          <w:sz w:val="28"/>
          <w:szCs w:val="28"/>
        </w:rPr>
        <w:t>меняются налоговые льготы по налогу на имущество  организаций, налогам при применении упрощенной системы налогообложения и патентной системы налогообложения, установленные Законом Тульской области № 414-ЗТО «О налоге на имущество организаций», Законом Туль</w:t>
      </w:r>
      <w:r>
        <w:rPr>
          <w:rFonts w:eastAsia="PT Astra Serif" w:cs="PT Astra Serif"/>
          <w:color w:val="000000"/>
          <w:sz w:val="28"/>
          <w:szCs w:val="28"/>
        </w:rPr>
        <w:t>ской области № 80-ЗТО «Об установлении налоговых ставок при применении упрощенной системы налогообложения» и Законом Тульской области № 2293-ЗТО «Об установлении налоговых ставок для отдельных категорий налогоплательщиков — индивидуальных предпринимателей»</w:t>
      </w:r>
      <w:r>
        <w:rPr>
          <w:rFonts w:eastAsia="PT Astra Serif" w:cs="PT Astra Serif"/>
          <w:color w:val="000000"/>
          <w:sz w:val="28"/>
          <w:szCs w:val="28"/>
        </w:rPr>
        <w:t>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По итогам 2019 года такую меру поддержки для субъектов малого и среднего предпринимательства, являющихся плательщиками УСН или ЕНВД, как налоговый вычет по налогу на имущество организаций в размере стоимости от 100 до 500 кв. метров площади объектов недв</w:t>
      </w:r>
      <w:r>
        <w:rPr>
          <w:rFonts w:eastAsia="PT Astra Serif" w:cs="PT Astra Serif"/>
          <w:color w:val="000000"/>
          <w:sz w:val="28"/>
          <w:szCs w:val="28"/>
        </w:rPr>
        <w:t>ижимого имущества, включенных в перечень объектов коммерческой недвижимости, налоговая база для которых рассчитывается от кадастровой стоимости этих объектов, применили 29 предпринимателей, сумма льготы составила 2,5 млн рублей.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lastRenderedPageBreak/>
        <w:t>Еще одной мерой поддержки д</w:t>
      </w:r>
      <w:r>
        <w:rPr>
          <w:rFonts w:eastAsia="PT Astra Serif" w:cs="PT Astra Serif"/>
          <w:color w:val="000000"/>
          <w:sz w:val="28"/>
          <w:szCs w:val="28"/>
        </w:rPr>
        <w:t>ля плательщиков УСН, осуществляющих предпринимательскую деятельность в приоритетных для региона сферах, а также впервые зарегистрированных организаций и индивидуальных предпринимателей, является снижение ставки налога.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В 2019 году 254 организации и индивид</w:t>
      </w:r>
      <w:r>
        <w:rPr>
          <w:rFonts w:eastAsia="PT Astra Serif" w:cs="PT Astra Serif"/>
          <w:color w:val="000000"/>
          <w:sz w:val="28"/>
          <w:szCs w:val="28"/>
        </w:rPr>
        <w:t>уальных предпринимателя из приоритетных сфер деятельности воспользовались пониженными ставками в размере 3% (объект налогообложения «доходы») и 7% (объект налогообложения «доходы минус расходы»), сумма налоговых льгот составила 153,6 млн рублей. Вместе с т</w:t>
      </w:r>
      <w:r>
        <w:rPr>
          <w:rFonts w:eastAsia="PT Astra Serif" w:cs="PT Astra Serif"/>
          <w:color w:val="000000"/>
          <w:sz w:val="28"/>
          <w:szCs w:val="28"/>
        </w:rPr>
        <w:t>ем, поступления УСН от этих налогоплательщиков составили 117,4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Пониженными ставками УСН в размере от 1% до 10% (в зависимости от осуществляемой предпринимательской деятельности и объекта налогообложения) для впервые зарегистрированных организац</w:t>
      </w:r>
      <w:r>
        <w:rPr>
          <w:rFonts w:eastAsia="PT Astra Serif" w:cs="PT Astra Serif"/>
          <w:color w:val="000000"/>
          <w:sz w:val="28"/>
          <w:szCs w:val="28"/>
        </w:rPr>
        <w:t>ий и индивидуальных предпринимателей воспользовались 743 налогоплательщика. Сумма льгот составила 226,9 млн рублей. Сумма поступлений УСН от этих налогоплательщиков составляет 76,8 млн рублей.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Для впервые зарегистрированных индивидуальных предпринимателей </w:t>
      </w:r>
      <w:r>
        <w:rPr>
          <w:rFonts w:eastAsia="PT Astra Serif" w:cs="PT Astra Serif"/>
          <w:color w:val="000000"/>
          <w:sz w:val="28"/>
          <w:szCs w:val="28"/>
        </w:rPr>
        <w:t>в социальной, производственной, научной сферах, а также в сфере бытовых услуг населению и услуг по предоставлению мест для временного проживания, установлены нулевые ставки УСН и патента.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Указанной мерой поддержки воспользовались 210 плательщиков УСН и 199</w:t>
      </w:r>
      <w:r>
        <w:rPr>
          <w:rFonts w:eastAsia="PT Astra Serif" w:cs="PT Astra Serif"/>
          <w:color w:val="000000"/>
          <w:sz w:val="28"/>
          <w:szCs w:val="28"/>
        </w:rPr>
        <w:t xml:space="preserve"> плательщиков ПСН. Сумма налоговой поддержки составила, соответственно, 82,9 млн рублей и 0,5 млн рублей. Сумма налогов, поступивших от этих индивидуальных предпринимателей, в 2019 году составила 16,4 млн 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Общая сумма стимулирующих налоговых льгот д</w:t>
      </w:r>
      <w:r>
        <w:rPr>
          <w:rFonts w:eastAsia="PT Astra Serif" w:cs="PT Astra Serif"/>
          <w:color w:val="000000"/>
          <w:sz w:val="28"/>
          <w:szCs w:val="28"/>
        </w:rPr>
        <w:t>ля субъектов МСП в 2019 году составила 466,4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По итогам оценки, проведенной куратором, налоговые расходы, направленные на стимулирование развития СМСП, соответствуют цели государственной программы Тульской области и являются востребованными.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Нал</w:t>
      </w:r>
      <w:r>
        <w:rPr>
          <w:rFonts w:eastAsia="PT Astra Serif" w:cs="PT Astra Serif"/>
          <w:color w:val="000000"/>
          <w:sz w:val="28"/>
          <w:szCs w:val="28"/>
        </w:rPr>
        <w:t>оговые расходы, направленные на стимулирование деятельности субъектов малого и среднего предпринимательства, оказывают существенное воздействие на показатель «численность занятых в сфере малого и среднего предпринимательства, включая индивидуальных предпри</w:t>
      </w:r>
      <w:r>
        <w:rPr>
          <w:rFonts w:eastAsia="PT Astra Serif" w:cs="PT Astra Serif"/>
          <w:color w:val="000000"/>
          <w:sz w:val="28"/>
          <w:szCs w:val="28"/>
        </w:rPr>
        <w:t>нимателей» и позволяют создавать новые рабочие места и вовлекать население Тульской области в предпринимательскую деятельность, обеспечивать занятость населения региона.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 xml:space="preserve">Более эффективные альтернативные механизмы достижения целей государственной программы </w:t>
      </w:r>
      <w:r>
        <w:rPr>
          <w:rFonts w:eastAsia="PT Astra Serif" w:cs="PT Astra Serif"/>
          <w:color w:val="000000"/>
          <w:sz w:val="28"/>
          <w:szCs w:val="28"/>
        </w:rPr>
        <w:t>Тульской области отсутствуют.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Общая сумма стимулирующих налоговых льгот в 2019 году составила 1 562,4 млн рублей.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3. </w:t>
      </w:r>
      <w:r>
        <w:rPr>
          <w:rFonts w:eastAsia="PT Astra Serif" w:cs="PT Astra Serif"/>
          <w:i/>
          <w:iCs/>
          <w:color w:val="000000"/>
          <w:sz w:val="28"/>
          <w:szCs w:val="28"/>
        </w:rPr>
        <w:t>Технические налоговые расходы</w:t>
      </w:r>
      <w:r>
        <w:rPr>
          <w:rFonts w:eastAsia="PT Astra Serif" w:cs="PT Astra Serif"/>
          <w:color w:val="000000"/>
          <w:sz w:val="28"/>
          <w:szCs w:val="28"/>
        </w:rPr>
        <w:t xml:space="preserve"> нацелены на уменьшение расходов налогоплательщиков, воспользовавшихся льготами, финансовое обеспечение </w:t>
      </w:r>
      <w:r>
        <w:rPr>
          <w:rFonts w:eastAsia="PT Astra Serif" w:cs="PT Astra Serif"/>
          <w:color w:val="000000"/>
          <w:sz w:val="28"/>
          <w:szCs w:val="28"/>
        </w:rPr>
        <w:lastRenderedPageBreak/>
        <w:t>которы</w:t>
      </w:r>
      <w:r>
        <w:rPr>
          <w:rFonts w:eastAsia="PT Astra Serif" w:cs="PT Astra Serif"/>
          <w:color w:val="000000"/>
          <w:sz w:val="28"/>
          <w:szCs w:val="28"/>
        </w:rPr>
        <w:t>х осуществляется в полном объеме или частично за счет бюджетных средств.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Количество технических налоговых расходов — 3, или 5% от общего числа льгот, действовавших в 2019 году; установлены по транспортному налогу в соответствии с Законом Тульской области №</w:t>
      </w:r>
      <w:r>
        <w:rPr>
          <w:rFonts w:eastAsia="PT Astra Serif" w:cs="PT Astra Serif"/>
          <w:color w:val="000000"/>
          <w:sz w:val="28"/>
          <w:szCs w:val="28"/>
        </w:rPr>
        <w:t> 343-ЗТО «О транспортном налоге» для категорий: предприятий уголовно-исполнительной системы; организаций, имеющих в своем составе профессиональные аварийно-спасательные службы и профессиональный аварийно-спасательные формирования, по транспортным средствам</w:t>
      </w:r>
      <w:r>
        <w:rPr>
          <w:rFonts w:eastAsia="PT Astra Serif" w:cs="PT Astra Serif"/>
          <w:color w:val="000000"/>
          <w:sz w:val="28"/>
          <w:szCs w:val="28"/>
        </w:rPr>
        <w:t>, входящим в состав данных служб и формирований; по налогу на имущество организаций в соответствии с Законом Тульской области № 414-ЗТО «О налоге на имущество организаций» для категории организаций, имеющих в своем составе профессиональные аварийно-спасате</w:t>
      </w:r>
      <w:r>
        <w:rPr>
          <w:rFonts w:eastAsia="PT Astra Serif" w:cs="PT Astra Serif"/>
          <w:color w:val="000000"/>
          <w:sz w:val="28"/>
          <w:szCs w:val="28"/>
        </w:rPr>
        <w:t>льные службы и профессиональный аварийно-спасательные формирования, - в отношении имущества, используемого профессиональными аварийно-спасательными службами и профессиональными аварийно-спасательными формированиями для осуществления возложенных на них функ</w:t>
      </w:r>
      <w:r>
        <w:rPr>
          <w:rFonts w:eastAsia="PT Astra Serif" w:cs="PT Astra Serif"/>
          <w:color w:val="000000"/>
          <w:sz w:val="28"/>
          <w:szCs w:val="28"/>
        </w:rPr>
        <w:t>ций.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Куратором технических налоговых расходов является комитет Тульской области по региональной безопасности.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>Налоговые расходы оказывают косвенное влияние на достижение цели государственной программы Тульской области «Защита населения и территорий Тульско</w:t>
      </w:r>
      <w:r>
        <w:rPr>
          <w:rFonts w:eastAsia="PT Astra Serif" w:cs="PT Astra Serif"/>
          <w:color w:val="000000"/>
          <w:sz w:val="28"/>
          <w:szCs w:val="28"/>
        </w:rPr>
        <w:t>й области от чрезвычайных ситуаций, обеспечение пожарной безопасности и безопасности людей на водных объектах».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PT Astra Serif" w:cs="PT Astra Serif"/>
          <w:color w:val="000000"/>
          <w:sz w:val="28"/>
          <w:szCs w:val="28"/>
        </w:rPr>
        <w:t xml:space="preserve">Востребованность льготы оценивается по фактическому предоставлению. Налоговая льгота позволяет направить дополнительные средства на улучшение материально-технической базы и повышение квалификации специалистов.  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Льготой по транспортному налогу воспользовал</w:t>
      </w:r>
      <w:r>
        <w:rPr>
          <w:rFonts w:eastAsia="PT Astra Serif" w:cs="PT Astra Serif"/>
          <w:color w:val="000000"/>
          <w:sz w:val="28"/>
          <w:szCs w:val="28"/>
        </w:rPr>
        <w:t>ись в 2019 году 14 организаций, относящихся к указанным категориям. Сумма льгот составила 1,7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Льготой по налогу на имущество организаций воспользовались 2 налогоплательщика. Сумма льгот составила 6,5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Общая сумма технических налоговы</w:t>
      </w:r>
      <w:r>
        <w:rPr>
          <w:rFonts w:eastAsia="PT Astra Serif" w:cs="PT Astra Serif"/>
          <w:color w:val="000000"/>
          <w:sz w:val="28"/>
          <w:szCs w:val="28"/>
        </w:rPr>
        <w:t>х расходов составила 8,2 млн рублей.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Куратор налоговых расходов оценивает данные льготы как соответствующие критериям целесообразности и результативности и являющиеся востребованными и эффективными. Более эффективные альтернативные механизмы достижения цел</w:t>
      </w:r>
      <w:r>
        <w:rPr>
          <w:rFonts w:eastAsia="PT Astra Serif" w:cs="PT Astra Serif"/>
          <w:color w:val="000000"/>
          <w:sz w:val="28"/>
          <w:szCs w:val="28"/>
        </w:rPr>
        <w:t>и государственной программы Тульской области отсутствуют.</w:t>
      </w:r>
    </w:p>
    <w:p w:rsidR="00A9624A" w:rsidRDefault="00A9624A">
      <w:pPr>
        <w:shd w:val="clear" w:color="auto" w:fill="FFFFFF"/>
        <w:ind w:firstLine="709"/>
        <w:jc w:val="both"/>
        <w:rPr>
          <w:rFonts w:eastAsia="PT Astra Serif" w:cs="PT Astra Serif"/>
          <w:color w:val="000000"/>
          <w:sz w:val="28"/>
          <w:szCs w:val="28"/>
        </w:rPr>
      </w:pP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PT Astra Serif" w:cs="PT Astra Serif"/>
          <w:color w:val="000000"/>
          <w:sz w:val="28"/>
          <w:szCs w:val="28"/>
        </w:rPr>
        <w:t>Общая сумма налоговых расходов Тульской области в 2019 году составила порядка 2 006,0 млн рублей.</w:t>
      </w:r>
    </w:p>
    <w:p w:rsidR="00A9624A" w:rsidRDefault="00A6567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Оценка налоговых расходов сформирована министерством экономического развития Тульской области на ос</w:t>
      </w:r>
      <w:r>
        <w:rPr>
          <w:sz w:val="28"/>
          <w:szCs w:val="28"/>
        </w:rPr>
        <w:t xml:space="preserve">новании анализа налоговых льгот и выводов, представленных кураторами налоговых расходов. 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lastRenderedPageBreak/>
        <w:t>Все налоговые расходы по итогам 2019 года признаны эффективными. По результатам оценки кураторами сделаны выводы о необходимости сохранения действующих налоговых льго</w:t>
      </w:r>
      <w:r>
        <w:rPr>
          <w:rFonts w:eastAsia="Calibri" w:cs="Times New Roman"/>
          <w:kern w:val="0"/>
          <w:sz w:val="28"/>
          <w:szCs w:val="28"/>
          <w:lang w:eastAsia="en-US" w:bidi="ar-SA"/>
        </w:rPr>
        <w:t>т.</w:t>
      </w:r>
    </w:p>
    <w:p w:rsidR="00A9624A" w:rsidRDefault="00A65676">
      <w:pPr>
        <w:shd w:val="clear" w:color="auto" w:fill="FFFFFF"/>
        <w:ind w:firstLine="709"/>
        <w:jc w:val="both"/>
      </w:pPr>
      <w:r>
        <w:rPr>
          <w:sz w:val="28"/>
          <w:szCs w:val="28"/>
          <w:highlight w:val="yellow"/>
        </w:rPr>
        <w:t xml:space="preserve"> </w:t>
      </w:r>
    </w:p>
    <w:sectPr w:rsidR="00A9624A">
      <w:headerReference w:type="default" r:id="rId7"/>
      <w:pgSz w:w="11906" w:h="16838"/>
      <w:pgMar w:top="1693" w:right="1134" w:bottom="1134" w:left="1134" w:header="1134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76" w:rsidRDefault="00A65676">
      <w:r>
        <w:separator/>
      </w:r>
    </w:p>
  </w:endnote>
  <w:endnote w:type="continuationSeparator" w:id="0">
    <w:p w:rsidR="00A65676" w:rsidRDefault="00A6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76" w:rsidRDefault="00A65676">
      <w:r>
        <w:separator/>
      </w:r>
    </w:p>
  </w:footnote>
  <w:footnote w:type="continuationSeparator" w:id="0">
    <w:p w:rsidR="00A65676" w:rsidRDefault="00A65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24A" w:rsidRDefault="00A65676">
    <w:pPr>
      <w:pStyle w:val="a8"/>
      <w:jc w:val="center"/>
    </w:pPr>
    <w:r>
      <w:fldChar w:fldCharType="begin"/>
    </w:r>
    <w:r>
      <w:instrText>PAGE</w:instrText>
    </w:r>
    <w:r>
      <w:fldChar w:fldCharType="separate"/>
    </w:r>
    <w:r w:rsidR="003F0D6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4A"/>
    <w:rsid w:val="003F0D67"/>
    <w:rsid w:val="00A65676"/>
    <w:rsid w:val="00A9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ahoma" w:hAnsi="PT Astra Serif" w:cs="Noto Sans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3">
    <w:name w:val="ListLabel 13"/>
    <w:qFormat/>
    <w:rPr>
      <w:rFonts w:ascii="PT Astra Serif" w:eastAsia="PT Astra Serif" w:hAnsi="PT Astra Serif" w:cs="PT Astra Serif"/>
      <w:b w:val="0"/>
      <w:bCs w:val="0"/>
      <w:color w:val="auto"/>
      <w:sz w:val="28"/>
    </w:rPr>
  </w:style>
  <w:style w:type="character" w:customStyle="1" w:styleId="ListLabel14">
    <w:name w:val="ListLabel 14"/>
    <w:qFormat/>
    <w:rPr>
      <w:rFonts w:eastAsia="PT Astra Serif" w:cs="PT Astra Serif"/>
      <w:b w:val="0"/>
      <w:bCs w:val="0"/>
      <w:color w:val="auto"/>
      <w:sz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ahoma" w:hAnsi="PT Astra Serif" w:cs="Noto Sans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3">
    <w:name w:val="ListLabel 13"/>
    <w:qFormat/>
    <w:rPr>
      <w:rFonts w:ascii="PT Astra Serif" w:eastAsia="PT Astra Serif" w:hAnsi="PT Astra Serif" w:cs="PT Astra Serif"/>
      <w:b w:val="0"/>
      <w:bCs w:val="0"/>
      <w:color w:val="auto"/>
      <w:sz w:val="28"/>
    </w:rPr>
  </w:style>
  <w:style w:type="character" w:customStyle="1" w:styleId="ListLabel14">
    <w:name w:val="ListLabel 14"/>
    <w:qFormat/>
    <w:rPr>
      <w:rFonts w:eastAsia="PT Astra Serif" w:cs="PT Astra Serif"/>
      <w:b w:val="0"/>
      <w:bCs w:val="0"/>
      <w:color w:val="auto"/>
      <w:sz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2957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Коровкина Ольга Владимировна</dc:creator>
  <cp:lastModifiedBy>Коровкина Ольга Владимировна</cp:lastModifiedBy>
  <cp:revision>2</cp:revision>
  <cp:lastPrinted>2020-09-14T13:44:00Z</cp:lastPrinted>
  <dcterms:created xsi:type="dcterms:W3CDTF">2020-10-29T09:02:00Z</dcterms:created>
  <dcterms:modified xsi:type="dcterms:W3CDTF">2020-10-29T09:02:00Z</dcterms:modified>
  <dc:language>ru-RU</dc:language>
</cp:coreProperties>
</file>